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BC64" w14:textId="1CF63F4D" w:rsidR="00671C78" w:rsidRDefault="00A2397F" w:rsidP="00671C78">
      <w:pPr>
        <w:pStyle w:val="Title"/>
      </w:pPr>
      <w:r>
        <w:t>2023 SME/CAS Spring Meeting</w:t>
      </w:r>
    </w:p>
    <w:p w14:paraId="23758690" w14:textId="77777777" w:rsidR="00671C78" w:rsidRPr="00671C78" w:rsidRDefault="00A2397F" w:rsidP="004608B1">
      <w:pPr>
        <w:pStyle w:val="Title"/>
        <w:spacing w:before="0"/>
        <w:ind w:left="461" w:right="101"/>
        <w:rPr>
          <w:rFonts w:ascii="Calibri"/>
          <w:bCs w:val="0"/>
          <w:sz w:val="28"/>
          <w:szCs w:val="28"/>
        </w:rPr>
      </w:pPr>
      <w:r w:rsidRPr="00671C78">
        <w:rPr>
          <w:rFonts w:ascii="Calibri"/>
          <w:bCs w:val="0"/>
          <w:sz w:val="28"/>
          <w:szCs w:val="28"/>
        </w:rPr>
        <w:t>Friday, April 14, 2023</w:t>
      </w:r>
    </w:p>
    <w:p w14:paraId="0D492C08" w14:textId="2979FE94" w:rsidR="00750645" w:rsidRDefault="00A2397F" w:rsidP="004608B1">
      <w:pPr>
        <w:pStyle w:val="Title"/>
        <w:spacing w:before="0"/>
        <w:ind w:left="461" w:right="101"/>
        <w:rPr>
          <w:rFonts w:ascii="Calibri"/>
          <w:sz w:val="28"/>
          <w:szCs w:val="28"/>
        </w:rPr>
      </w:pPr>
      <w:r>
        <w:rPr>
          <w:rFonts w:ascii="Calibri"/>
          <w:sz w:val="28"/>
          <w:szCs w:val="28"/>
        </w:rPr>
        <w:t>W</w:t>
      </w:r>
      <w:r w:rsidR="00363112">
        <w:rPr>
          <w:rFonts w:ascii="Calibri"/>
          <w:sz w:val="28"/>
          <w:szCs w:val="28"/>
        </w:rPr>
        <w:t xml:space="preserve">V </w:t>
      </w:r>
      <w:r>
        <w:rPr>
          <w:rFonts w:ascii="Calibri"/>
          <w:sz w:val="28"/>
          <w:szCs w:val="28"/>
        </w:rPr>
        <w:t xml:space="preserve">Training </w:t>
      </w:r>
      <w:r w:rsidR="00363112">
        <w:rPr>
          <w:rFonts w:ascii="Calibri"/>
          <w:sz w:val="28"/>
          <w:szCs w:val="28"/>
        </w:rPr>
        <w:t xml:space="preserve">&amp; Conference </w:t>
      </w:r>
      <w:r w:rsidR="001E1DA7">
        <w:rPr>
          <w:rFonts w:ascii="Calibri"/>
          <w:sz w:val="28"/>
          <w:szCs w:val="28"/>
        </w:rPr>
        <w:t>C</w:t>
      </w:r>
      <w:r w:rsidR="00143BBB">
        <w:rPr>
          <w:rFonts w:ascii="Calibri"/>
          <w:sz w:val="28"/>
          <w:szCs w:val="28"/>
        </w:rPr>
        <w:t>enter</w:t>
      </w:r>
      <w:r w:rsidR="00671C78">
        <w:rPr>
          <w:rFonts w:ascii="Calibri"/>
          <w:sz w:val="28"/>
          <w:szCs w:val="28"/>
        </w:rPr>
        <w:t xml:space="preserve"> </w:t>
      </w:r>
      <w:r w:rsidR="00671C78">
        <w:rPr>
          <w:rFonts w:ascii="Calibri"/>
          <w:sz w:val="28"/>
          <w:szCs w:val="28"/>
        </w:rPr>
        <w:t>–</w:t>
      </w:r>
      <w:r w:rsidR="00671C78">
        <w:rPr>
          <w:rFonts w:ascii="Calibri"/>
          <w:sz w:val="28"/>
          <w:szCs w:val="28"/>
        </w:rPr>
        <w:t xml:space="preserve"> Julian, West Virginia</w:t>
      </w:r>
    </w:p>
    <w:p w14:paraId="48282AB0" w14:textId="77777777" w:rsidR="00E66BA0" w:rsidRPr="00E66BA0" w:rsidRDefault="00E66BA0" w:rsidP="004608B1">
      <w:pPr>
        <w:pStyle w:val="Title"/>
        <w:spacing w:before="0"/>
        <w:ind w:left="461" w:right="101"/>
        <w:rPr>
          <w:sz w:val="16"/>
          <w:szCs w:val="16"/>
        </w:rPr>
      </w:pPr>
    </w:p>
    <w:p w14:paraId="2CBCDB19" w14:textId="77777777" w:rsidR="00C6324C" w:rsidRPr="00B5566B" w:rsidRDefault="00C6324C">
      <w:pPr>
        <w:pStyle w:val="BodyText"/>
        <w:spacing w:before="1"/>
        <w:rPr>
          <w:b w:val="0"/>
          <w:bCs w:val="0"/>
        </w:rPr>
      </w:pP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1757"/>
        <w:gridCol w:w="8343"/>
      </w:tblGrid>
      <w:tr w:rsidR="008C6D19" w:rsidRPr="00B5566B" w14:paraId="44C22F90" w14:textId="77777777" w:rsidTr="00DC31F8">
        <w:tc>
          <w:tcPr>
            <w:tcW w:w="1757" w:type="dxa"/>
          </w:tcPr>
          <w:p w14:paraId="642E13D7" w14:textId="40F84FF4" w:rsidR="00B5566B" w:rsidRPr="00B5566B" w:rsidRDefault="0043799A" w:rsidP="007323E5">
            <w:pPr>
              <w:tabs>
                <w:tab w:val="left" w:pos="1830"/>
              </w:tabs>
            </w:pPr>
            <w:r>
              <w:t>7</w:t>
            </w:r>
            <w:r w:rsidR="00B5566B" w:rsidRPr="00B5566B">
              <w:t>:00</w:t>
            </w:r>
            <w:r w:rsidR="00B5566B" w:rsidRPr="00B5566B">
              <w:rPr>
                <w:spacing w:val="-4"/>
              </w:rPr>
              <w:t xml:space="preserve"> </w:t>
            </w:r>
            <w:r w:rsidR="00B5566B" w:rsidRPr="00B5566B">
              <w:t>a.m.</w:t>
            </w:r>
          </w:p>
        </w:tc>
        <w:tc>
          <w:tcPr>
            <w:tcW w:w="8343" w:type="dxa"/>
          </w:tcPr>
          <w:p w14:paraId="1F31637B" w14:textId="6A0CB091" w:rsidR="00B5566B" w:rsidRPr="00B5566B" w:rsidRDefault="00E36BDB" w:rsidP="001C1EF8">
            <w:pPr>
              <w:tabs>
                <w:tab w:val="left" w:pos="1830"/>
              </w:tabs>
            </w:pPr>
            <w:r>
              <w:rPr>
                <w:b/>
                <w:bCs/>
              </w:rPr>
              <w:t xml:space="preserve">Registration and </w:t>
            </w:r>
            <w:r w:rsidR="0043799A">
              <w:rPr>
                <w:b/>
                <w:bCs/>
              </w:rPr>
              <w:t>Coffee Breaks</w:t>
            </w:r>
          </w:p>
        </w:tc>
      </w:tr>
      <w:tr w:rsidR="008C6D19" w:rsidRPr="00B5566B" w14:paraId="3E760AC0" w14:textId="77777777" w:rsidTr="00DC31F8">
        <w:tc>
          <w:tcPr>
            <w:tcW w:w="1757" w:type="dxa"/>
          </w:tcPr>
          <w:p w14:paraId="68A784E5" w14:textId="2B9D474D" w:rsidR="00B5566B" w:rsidRPr="00B5566B" w:rsidRDefault="00B5566B" w:rsidP="007323E5">
            <w:pPr>
              <w:tabs>
                <w:tab w:val="left" w:pos="1830"/>
              </w:tabs>
            </w:pPr>
            <w:r>
              <w:t>8:</w:t>
            </w:r>
            <w:r w:rsidR="0043799A">
              <w:t>00</w:t>
            </w:r>
            <w:r>
              <w:rPr>
                <w:spacing w:val="-3"/>
              </w:rPr>
              <w:t xml:space="preserve"> </w:t>
            </w:r>
            <w:r>
              <w:t>a.m.</w:t>
            </w:r>
          </w:p>
        </w:tc>
        <w:tc>
          <w:tcPr>
            <w:tcW w:w="8343" w:type="dxa"/>
          </w:tcPr>
          <w:p w14:paraId="22B96C22" w14:textId="1DBBA533" w:rsidR="00E33287" w:rsidRPr="00B5566B" w:rsidRDefault="0043799A" w:rsidP="001C1EF8">
            <w:pPr>
              <w:tabs>
                <w:tab w:val="left" w:pos="1830"/>
              </w:tabs>
            </w:pPr>
            <w:r>
              <w:rPr>
                <w:b/>
                <w:bCs/>
              </w:rPr>
              <w:t>Welcome</w:t>
            </w:r>
          </w:p>
        </w:tc>
      </w:tr>
      <w:tr w:rsidR="008C6D19" w:rsidRPr="00B5566B" w14:paraId="22010D9B" w14:textId="77777777" w:rsidTr="00DA4C80">
        <w:tc>
          <w:tcPr>
            <w:tcW w:w="1757" w:type="dxa"/>
          </w:tcPr>
          <w:p w14:paraId="0C0D15A0" w14:textId="42ACD927" w:rsidR="00B5566B" w:rsidRPr="00B5566B" w:rsidRDefault="0043799A" w:rsidP="007323E5">
            <w:pPr>
              <w:tabs>
                <w:tab w:val="left" w:pos="1830"/>
              </w:tabs>
            </w:pPr>
            <w:r>
              <w:t>8</w:t>
            </w:r>
            <w:r w:rsidR="006F462D">
              <w:t>:</w:t>
            </w:r>
            <w:r w:rsidR="00363112">
              <w:t>05</w:t>
            </w:r>
            <w:r w:rsidR="006F462D" w:rsidRPr="00CB5BAC">
              <w:t xml:space="preserve"> </w:t>
            </w:r>
            <w:r w:rsidR="006F462D">
              <w:t>a.m.</w:t>
            </w:r>
          </w:p>
        </w:tc>
        <w:tc>
          <w:tcPr>
            <w:tcW w:w="8343" w:type="dxa"/>
            <w:shd w:val="clear" w:color="auto" w:fill="auto"/>
          </w:tcPr>
          <w:p w14:paraId="0F5702C3" w14:textId="43BE13F8" w:rsidR="007C5790" w:rsidRPr="000E13B8" w:rsidRDefault="0043799A" w:rsidP="007C5790">
            <w:pPr>
              <w:tabs>
                <w:tab w:val="left" w:pos="1830"/>
              </w:tabs>
              <w:spacing w:before="28"/>
              <w:rPr>
                <w:b/>
                <w:bCs/>
              </w:rPr>
            </w:pPr>
            <w:r>
              <w:rPr>
                <w:b/>
                <w:bCs/>
              </w:rPr>
              <w:t>Keynote Address</w:t>
            </w:r>
            <w:r w:rsidR="00182758">
              <w:rPr>
                <w:b/>
                <w:bCs/>
              </w:rPr>
              <w:t xml:space="preserve"> – Updates from MSHA</w:t>
            </w:r>
          </w:p>
          <w:p w14:paraId="67BB92F1" w14:textId="4DC92B14" w:rsidR="00B5566B" w:rsidRPr="000E13B8" w:rsidRDefault="00B2185A" w:rsidP="007C5790">
            <w:pPr>
              <w:tabs>
                <w:tab w:val="left" w:pos="183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Scott Mandeville</w:t>
            </w:r>
            <w:r w:rsidR="00747B3C">
              <w:rPr>
                <w:bCs/>
                <w:color w:val="000000" w:themeColor="text1"/>
              </w:rPr>
              <w:t xml:space="preserve">, </w:t>
            </w:r>
            <w:r w:rsidR="006643C8">
              <w:rPr>
                <w:bCs/>
                <w:color w:val="000000" w:themeColor="text1"/>
              </w:rPr>
              <w:t xml:space="preserve">Special Assistant, </w:t>
            </w:r>
            <w:r w:rsidR="00747B3C">
              <w:rPr>
                <w:bCs/>
                <w:color w:val="000000" w:themeColor="text1"/>
              </w:rPr>
              <w:t>MSHA</w:t>
            </w:r>
          </w:p>
        </w:tc>
      </w:tr>
      <w:tr w:rsidR="008C6D19" w:rsidRPr="00B5566B" w14:paraId="384B739B" w14:textId="77777777" w:rsidTr="00DC31F8">
        <w:tc>
          <w:tcPr>
            <w:tcW w:w="1757" w:type="dxa"/>
          </w:tcPr>
          <w:p w14:paraId="1D73B5EC" w14:textId="79018855" w:rsidR="006F462D" w:rsidRDefault="00363112" w:rsidP="007323E5">
            <w:pPr>
              <w:tabs>
                <w:tab w:val="left" w:pos="1830"/>
              </w:tabs>
            </w:pPr>
            <w:r>
              <w:t>8:50 a.m.</w:t>
            </w:r>
          </w:p>
        </w:tc>
        <w:tc>
          <w:tcPr>
            <w:tcW w:w="8343" w:type="dxa"/>
          </w:tcPr>
          <w:p w14:paraId="7B16E490" w14:textId="188120C2" w:rsidR="006F462D" w:rsidRPr="00386F25" w:rsidRDefault="00363112" w:rsidP="006F462D">
            <w:pPr>
              <w:tabs>
                <w:tab w:val="left" w:pos="1830"/>
              </w:tabs>
              <w:spacing w:before="28"/>
              <w:rPr>
                <w:b/>
              </w:rPr>
            </w:pPr>
            <w:r>
              <w:rPr>
                <w:b/>
              </w:rPr>
              <w:t xml:space="preserve">Networking </w:t>
            </w:r>
            <w:r w:rsidR="006F462D" w:rsidRPr="00386F25">
              <w:rPr>
                <w:b/>
              </w:rPr>
              <w:t>Break</w:t>
            </w:r>
          </w:p>
        </w:tc>
      </w:tr>
      <w:tr w:rsidR="008C6D19" w:rsidRPr="00B5566B" w14:paraId="77BA9146" w14:textId="77777777" w:rsidTr="00DA4C80">
        <w:tc>
          <w:tcPr>
            <w:tcW w:w="1757" w:type="dxa"/>
          </w:tcPr>
          <w:p w14:paraId="419ECE8F" w14:textId="5E1761BE" w:rsidR="006F462D" w:rsidRDefault="00363112" w:rsidP="007323E5">
            <w:pPr>
              <w:tabs>
                <w:tab w:val="left" w:pos="1830"/>
              </w:tabs>
            </w:pPr>
            <w:r>
              <w:rPr>
                <w:spacing w:val="-2"/>
              </w:rPr>
              <w:t>8:55</w:t>
            </w:r>
            <w:r w:rsidR="006F462D">
              <w:rPr>
                <w:spacing w:val="-2"/>
              </w:rPr>
              <w:t xml:space="preserve"> </w:t>
            </w:r>
            <w:r w:rsidR="006F462D">
              <w:t>a.m.</w:t>
            </w:r>
          </w:p>
        </w:tc>
        <w:tc>
          <w:tcPr>
            <w:tcW w:w="8343" w:type="dxa"/>
            <w:shd w:val="clear" w:color="auto" w:fill="auto"/>
          </w:tcPr>
          <w:p w14:paraId="202A22F2" w14:textId="2EDBA74F" w:rsidR="00BC48BE" w:rsidRPr="00BC48BE" w:rsidRDefault="00590DB9" w:rsidP="00D2309A">
            <w:pPr>
              <w:tabs>
                <w:tab w:val="left" w:pos="1830"/>
              </w:tabs>
              <w:spacing w:before="28"/>
              <w:rPr>
                <w:b/>
                <w:bCs/>
              </w:rPr>
            </w:pPr>
            <w:r>
              <w:rPr>
                <w:b/>
                <w:bCs/>
              </w:rPr>
              <w:t>Experiences in the Coal Mining Industry – Data Collection to Decisions</w:t>
            </w:r>
          </w:p>
          <w:p w14:paraId="047E2E15" w14:textId="4839A98E" w:rsidR="006F462D" w:rsidRPr="00BC48BE" w:rsidRDefault="00590DB9" w:rsidP="00D2309A">
            <w:pPr>
              <w:tabs>
                <w:tab w:val="left" w:pos="1830"/>
              </w:tabs>
              <w:spacing w:before="28"/>
            </w:pPr>
            <w:r>
              <w:t>Kevin Andrews, CPG, Marshall Miller and Associates</w:t>
            </w:r>
          </w:p>
        </w:tc>
      </w:tr>
      <w:tr w:rsidR="008C6D19" w:rsidRPr="00B5566B" w14:paraId="1695D056" w14:textId="77777777" w:rsidTr="002D2D1F">
        <w:tc>
          <w:tcPr>
            <w:tcW w:w="1757" w:type="dxa"/>
          </w:tcPr>
          <w:p w14:paraId="4B642CBB" w14:textId="548745BA" w:rsidR="006F462D" w:rsidRDefault="00363112" w:rsidP="007323E5">
            <w:pPr>
              <w:tabs>
                <w:tab w:val="left" w:pos="1830"/>
              </w:tabs>
            </w:pPr>
            <w:r>
              <w:rPr>
                <w:spacing w:val="-2"/>
              </w:rPr>
              <w:t>9:20</w:t>
            </w:r>
            <w:r w:rsidR="006F462D">
              <w:rPr>
                <w:spacing w:val="-2"/>
              </w:rPr>
              <w:t xml:space="preserve"> </w:t>
            </w:r>
            <w:r w:rsidR="006F462D">
              <w:t>a.m.</w:t>
            </w:r>
          </w:p>
        </w:tc>
        <w:tc>
          <w:tcPr>
            <w:tcW w:w="8343" w:type="dxa"/>
            <w:shd w:val="clear" w:color="auto" w:fill="auto"/>
          </w:tcPr>
          <w:p w14:paraId="4E8323A9" w14:textId="0E775146" w:rsidR="002D2D1F" w:rsidRPr="000E13B8" w:rsidRDefault="002D2D1F" w:rsidP="002D2D1F">
            <w:pPr>
              <w:tabs>
                <w:tab w:val="left" w:pos="1830"/>
              </w:tabs>
              <w:spacing w:before="28"/>
              <w:rPr>
                <w:b/>
                <w:bCs/>
              </w:rPr>
            </w:pPr>
            <w:r>
              <w:rPr>
                <w:b/>
                <w:bCs/>
              </w:rPr>
              <w:t>Pillar Design with Thick In-Seam Parting</w:t>
            </w:r>
            <w:r w:rsidR="002D602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The Benefit of the 50% Rule</w:t>
            </w:r>
          </w:p>
          <w:p w14:paraId="038814E2" w14:textId="2C967182" w:rsidR="006F462D" w:rsidRPr="000E13B8" w:rsidRDefault="002D2D1F" w:rsidP="002D2D1F">
            <w:pPr>
              <w:tabs>
                <w:tab w:val="left" w:pos="1830"/>
              </w:tabs>
              <w:spacing w:before="28"/>
            </w:pPr>
            <w:r>
              <w:t xml:space="preserve">Mark Morris, </w:t>
            </w:r>
            <w:r w:rsidR="00E02E88">
              <w:t xml:space="preserve">PE, </w:t>
            </w:r>
            <w:r>
              <w:t>Director of Technical Support and Joe Bright, Manager of Engineering, Blue Creek/Maple, Blackhawk Mining</w:t>
            </w:r>
          </w:p>
        </w:tc>
      </w:tr>
      <w:tr w:rsidR="00CD1324" w:rsidRPr="00B5566B" w14:paraId="1D2DC8D5" w14:textId="77777777" w:rsidTr="001E2605">
        <w:tc>
          <w:tcPr>
            <w:tcW w:w="1757" w:type="dxa"/>
          </w:tcPr>
          <w:p w14:paraId="0AE3FF34" w14:textId="193C4D39" w:rsidR="00CD1324" w:rsidRDefault="009270B0" w:rsidP="00CD1324">
            <w:pPr>
              <w:tabs>
                <w:tab w:val="left" w:pos="1830"/>
              </w:tabs>
            </w:pPr>
            <w:r>
              <w:rPr>
                <w:spacing w:val="-2"/>
              </w:rPr>
              <w:t>9:45</w:t>
            </w:r>
            <w:r w:rsidR="00363112">
              <w:rPr>
                <w:spacing w:val="-2"/>
              </w:rPr>
              <w:t xml:space="preserve"> </w:t>
            </w:r>
            <w:r w:rsidR="00CD1324">
              <w:t>a.m.</w:t>
            </w:r>
          </w:p>
        </w:tc>
        <w:tc>
          <w:tcPr>
            <w:tcW w:w="8343" w:type="dxa"/>
            <w:shd w:val="clear" w:color="auto" w:fill="auto"/>
          </w:tcPr>
          <w:p w14:paraId="1DF80CBC" w14:textId="77777777" w:rsidR="002D2D1F" w:rsidRPr="001E2605" w:rsidRDefault="002D2D1F" w:rsidP="002D2D1F">
            <w:pPr>
              <w:tabs>
                <w:tab w:val="left" w:pos="1830"/>
              </w:tabs>
              <w:rPr>
                <w:b/>
              </w:rPr>
            </w:pPr>
            <w:r w:rsidRPr="001E2605">
              <w:rPr>
                <w:b/>
              </w:rPr>
              <w:t>Field Instrumentation and Analysis of Pillar Performance at the Maple Eagle Mine</w:t>
            </w:r>
          </w:p>
          <w:p w14:paraId="67C21F0B" w14:textId="0A0F27FF" w:rsidR="00CD1324" w:rsidRPr="001E2605" w:rsidRDefault="002D2D1F" w:rsidP="002D2D1F">
            <w:pPr>
              <w:tabs>
                <w:tab w:val="left" w:pos="1830"/>
              </w:tabs>
              <w:rPr>
                <w:rFonts w:eastAsia="Times New Roman"/>
              </w:rPr>
            </w:pPr>
            <w:r w:rsidRPr="001E2605">
              <w:t xml:space="preserve">Morgan Sears, </w:t>
            </w:r>
            <w:r w:rsidR="002D60D3">
              <w:t xml:space="preserve">PhD, </w:t>
            </w:r>
            <w:r w:rsidR="00C12954">
              <w:t xml:space="preserve">Mining Engineer, </w:t>
            </w:r>
            <w:r w:rsidRPr="001E2605">
              <w:t>NIOSH</w:t>
            </w:r>
          </w:p>
        </w:tc>
      </w:tr>
      <w:tr w:rsidR="00CD1324" w:rsidRPr="00B5566B" w14:paraId="5C3498E3" w14:textId="77777777" w:rsidTr="00DC31F8">
        <w:tc>
          <w:tcPr>
            <w:tcW w:w="1757" w:type="dxa"/>
          </w:tcPr>
          <w:p w14:paraId="0C66297E" w14:textId="27FB6B1C" w:rsidR="00CD1324" w:rsidRDefault="008F72D8" w:rsidP="00CD1324">
            <w:pPr>
              <w:tabs>
                <w:tab w:val="left" w:pos="1830"/>
              </w:tabs>
            </w:pPr>
            <w:r>
              <w:rPr>
                <w:spacing w:val="-2"/>
              </w:rPr>
              <w:t>10:10</w:t>
            </w:r>
            <w:r w:rsidR="00CD1324">
              <w:rPr>
                <w:spacing w:val="-2"/>
              </w:rPr>
              <w:t xml:space="preserve"> </w:t>
            </w:r>
            <w:r w:rsidR="00CD1324">
              <w:t>a.m.</w:t>
            </w:r>
          </w:p>
        </w:tc>
        <w:tc>
          <w:tcPr>
            <w:tcW w:w="8343" w:type="dxa"/>
          </w:tcPr>
          <w:p w14:paraId="418D1392" w14:textId="5398059F" w:rsidR="00CD1324" w:rsidRPr="0078271D" w:rsidRDefault="008F72D8" w:rsidP="0037598D">
            <w:pPr>
              <w:tabs>
                <w:tab w:val="left" w:pos="1830"/>
              </w:tabs>
              <w:rPr>
                <w:b/>
                <w:bCs/>
              </w:rPr>
            </w:pPr>
            <w:r w:rsidRPr="0078271D">
              <w:rPr>
                <w:b/>
                <w:bCs/>
              </w:rPr>
              <w:t>Networking Break</w:t>
            </w:r>
          </w:p>
        </w:tc>
      </w:tr>
      <w:tr w:rsidR="00CD1324" w:rsidRPr="00B5566B" w14:paraId="2E5994AA" w14:textId="77777777" w:rsidTr="00DA4C80">
        <w:tc>
          <w:tcPr>
            <w:tcW w:w="1757" w:type="dxa"/>
          </w:tcPr>
          <w:p w14:paraId="68DA15ED" w14:textId="2C34F96A" w:rsidR="00CD1324" w:rsidRDefault="00CD1324" w:rsidP="00CD1324">
            <w:pPr>
              <w:tabs>
                <w:tab w:val="left" w:pos="1830"/>
              </w:tabs>
            </w:pPr>
            <w:r>
              <w:t>1</w:t>
            </w:r>
            <w:r w:rsidR="008F72D8">
              <w:t>0:35 a</w:t>
            </w:r>
            <w:r>
              <w:t>.m.</w:t>
            </w:r>
          </w:p>
        </w:tc>
        <w:tc>
          <w:tcPr>
            <w:tcW w:w="8343" w:type="dxa"/>
            <w:shd w:val="clear" w:color="auto" w:fill="auto"/>
          </w:tcPr>
          <w:p w14:paraId="118820A8" w14:textId="20925773" w:rsidR="008F72D8" w:rsidRPr="008F72D8" w:rsidRDefault="002D2D1F" w:rsidP="00CD1324">
            <w:pPr>
              <w:tabs>
                <w:tab w:val="left" w:pos="1830"/>
              </w:tabs>
            </w:pPr>
            <w:r>
              <w:rPr>
                <w:b/>
                <w:color w:val="000000" w:themeColor="text1"/>
              </w:rPr>
              <w:t>Insights Into the Relationships Along the Roof, Rib, Floor, and Pillars of Underground Coal Mines</w:t>
            </w:r>
            <w:r w:rsidRPr="00764C16">
              <w:rPr>
                <w:b/>
                <w:color w:val="000000" w:themeColor="text1"/>
              </w:rPr>
              <w:br/>
            </w:r>
            <w:r>
              <w:t>Ted Klemetti</w:t>
            </w:r>
            <w:r w:rsidR="00022AB9">
              <w:t xml:space="preserve">, </w:t>
            </w:r>
            <w:r w:rsidR="0078271D">
              <w:t xml:space="preserve">SME Henry Krumb Lecturer and </w:t>
            </w:r>
            <w:r w:rsidR="00022AB9">
              <w:t>Lead Research General Engineer</w:t>
            </w:r>
            <w:r w:rsidR="0078271D">
              <w:t>, NIOSH</w:t>
            </w:r>
            <w:r w:rsidR="00741CD3">
              <w:t>/PMRD</w:t>
            </w:r>
          </w:p>
        </w:tc>
      </w:tr>
      <w:tr w:rsidR="00CD1324" w:rsidRPr="00B5566B" w14:paraId="725CD516" w14:textId="77777777" w:rsidTr="00DC31F8">
        <w:tc>
          <w:tcPr>
            <w:tcW w:w="1757" w:type="dxa"/>
          </w:tcPr>
          <w:p w14:paraId="3DA90A1C" w14:textId="01F3B4D0" w:rsidR="00CD1324" w:rsidRPr="006F462D" w:rsidRDefault="00CD1324" w:rsidP="00CD1324">
            <w:pPr>
              <w:tabs>
                <w:tab w:val="left" w:pos="1830"/>
              </w:tabs>
            </w:pPr>
            <w:r w:rsidRPr="006F462D">
              <w:t>1</w:t>
            </w:r>
            <w:r w:rsidR="008F72D8">
              <w:t>1</w:t>
            </w:r>
            <w:r w:rsidRPr="006F462D">
              <w:t>:00</w:t>
            </w:r>
            <w:r w:rsidRPr="006F462D">
              <w:rPr>
                <w:spacing w:val="-5"/>
              </w:rPr>
              <w:t xml:space="preserve"> </w:t>
            </w:r>
            <w:r w:rsidR="008F72D8">
              <w:rPr>
                <w:spacing w:val="-5"/>
              </w:rPr>
              <w:t>a</w:t>
            </w:r>
            <w:r w:rsidRPr="006F462D">
              <w:t>.m.</w:t>
            </w:r>
          </w:p>
        </w:tc>
        <w:tc>
          <w:tcPr>
            <w:tcW w:w="8343" w:type="dxa"/>
          </w:tcPr>
          <w:p w14:paraId="78F93CEE" w14:textId="77777777" w:rsidR="002D6022" w:rsidRPr="00402DD3" w:rsidRDefault="002D6022" w:rsidP="002D6022">
            <w:pPr>
              <w:tabs>
                <w:tab w:val="left" w:pos="1830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Pr="008F72D8">
              <w:rPr>
                <w:b/>
                <w:bCs/>
                <w:color w:val="000000" w:themeColor="text1"/>
                <w:vertAlign w:val="superscript"/>
              </w:rPr>
              <w:t>nd</w:t>
            </w:r>
            <w:r>
              <w:rPr>
                <w:b/>
                <w:bCs/>
                <w:color w:val="000000" w:themeColor="text1"/>
              </w:rPr>
              <w:t xml:space="preserve"> Mining Utilizing “Slices” Method Developed by NIOSH</w:t>
            </w:r>
          </w:p>
          <w:p w14:paraId="24A894AF" w14:textId="0CA3735F" w:rsidR="00CD1324" w:rsidRPr="006F462D" w:rsidRDefault="002D6022" w:rsidP="002D6022">
            <w:pPr>
              <w:tabs>
                <w:tab w:val="left" w:pos="1830"/>
              </w:tabs>
            </w:pPr>
            <w:r>
              <w:t>James Sumner, Director of Process Improvement, Arch Resources/ICG Beckley</w:t>
            </w:r>
          </w:p>
        </w:tc>
      </w:tr>
      <w:tr w:rsidR="000875BA" w:rsidRPr="00B5566B" w14:paraId="0BDB0790" w14:textId="77777777" w:rsidTr="00DC31F8">
        <w:tc>
          <w:tcPr>
            <w:tcW w:w="1757" w:type="dxa"/>
          </w:tcPr>
          <w:p w14:paraId="6E67B330" w14:textId="0A0446B4" w:rsidR="000875BA" w:rsidRPr="006F462D" w:rsidRDefault="000875BA" w:rsidP="000875BA">
            <w:pPr>
              <w:tabs>
                <w:tab w:val="left" w:pos="1830"/>
              </w:tabs>
            </w:pPr>
            <w:r w:rsidRPr="006F462D">
              <w:t>1</w:t>
            </w:r>
            <w:r w:rsidR="008F72D8">
              <w:t>1</w:t>
            </w:r>
            <w:r w:rsidRPr="006F462D">
              <w:t>:25</w:t>
            </w:r>
            <w:r w:rsidRPr="006F462D">
              <w:rPr>
                <w:spacing w:val="-5"/>
              </w:rPr>
              <w:t xml:space="preserve"> </w:t>
            </w:r>
            <w:r w:rsidR="00BA3A7C">
              <w:rPr>
                <w:spacing w:val="-5"/>
              </w:rPr>
              <w:t>a</w:t>
            </w:r>
            <w:r w:rsidRPr="006F462D">
              <w:t>.m.</w:t>
            </w:r>
          </w:p>
        </w:tc>
        <w:tc>
          <w:tcPr>
            <w:tcW w:w="8343" w:type="dxa"/>
          </w:tcPr>
          <w:p w14:paraId="758DAF31" w14:textId="77777777" w:rsidR="002D6022" w:rsidRDefault="002D6022" w:rsidP="002D6022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Paint Creek Shaft – Miscellaneous Challenges</w:t>
            </w:r>
          </w:p>
          <w:p w14:paraId="386B6A55" w14:textId="57035D25" w:rsidR="008F72D8" w:rsidRPr="006F462D" w:rsidRDefault="002D6022" w:rsidP="002D6022">
            <w:pPr>
              <w:tabs>
                <w:tab w:val="left" w:pos="1830"/>
              </w:tabs>
            </w:pPr>
            <w:r>
              <w:t xml:space="preserve">Les Davis, </w:t>
            </w:r>
            <w:r w:rsidR="002D60D3">
              <w:t xml:space="preserve">PE, </w:t>
            </w:r>
            <w:r>
              <w:t>Senior Mining Engineer, Arch Beckley</w:t>
            </w:r>
          </w:p>
        </w:tc>
      </w:tr>
      <w:tr w:rsidR="00BA3A7C" w:rsidRPr="00B5566B" w14:paraId="14C4A880" w14:textId="77777777" w:rsidTr="00DC31F8">
        <w:tc>
          <w:tcPr>
            <w:tcW w:w="1757" w:type="dxa"/>
          </w:tcPr>
          <w:p w14:paraId="0EDFC6B9" w14:textId="14D96585" w:rsidR="00BA3A7C" w:rsidRPr="006F462D" w:rsidRDefault="00BA3A7C" w:rsidP="00BA3A7C">
            <w:pPr>
              <w:tabs>
                <w:tab w:val="left" w:pos="1830"/>
              </w:tabs>
            </w:pPr>
            <w:r>
              <w:t>11:50 a.m.</w:t>
            </w:r>
          </w:p>
        </w:tc>
        <w:tc>
          <w:tcPr>
            <w:tcW w:w="8343" w:type="dxa"/>
          </w:tcPr>
          <w:p w14:paraId="7777406B" w14:textId="77777777" w:rsidR="002D2D1F" w:rsidRPr="000D6647" w:rsidRDefault="002D2D1F" w:rsidP="002D2D1F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Ventilation Modeling: Using ICAMPS with AutoCAD/Carlson</w:t>
            </w:r>
          </w:p>
          <w:p w14:paraId="39D7542A" w14:textId="4B120E27" w:rsidR="00BA3A7C" w:rsidRDefault="002D2D1F" w:rsidP="00BC48BE">
            <w:pPr>
              <w:tabs>
                <w:tab w:val="left" w:pos="1830"/>
              </w:tabs>
              <w:rPr>
                <w:b/>
                <w:bCs/>
              </w:rPr>
            </w:pPr>
            <w:r>
              <w:t xml:space="preserve">Jacob Elkins, </w:t>
            </w:r>
            <w:r w:rsidR="00DC6082">
              <w:t xml:space="preserve">MBA, </w:t>
            </w:r>
            <w:r>
              <w:t>Ventilation Engineer, Arch Resources Beckley</w:t>
            </w:r>
          </w:p>
        </w:tc>
      </w:tr>
      <w:tr w:rsidR="00BA3A7C" w:rsidRPr="00B5566B" w14:paraId="53588F77" w14:textId="77777777" w:rsidTr="00671C78">
        <w:trPr>
          <w:trHeight w:val="321"/>
        </w:trPr>
        <w:tc>
          <w:tcPr>
            <w:tcW w:w="1757" w:type="dxa"/>
          </w:tcPr>
          <w:p w14:paraId="5780F6CA" w14:textId="3C1A2182" w:rsidR="00BA3A7C" w:rsidRPr="006F462D" w:rsidRDefault="00BA3A7C" w:rsidP="000875BA">
            <w:pPr>
              <w:tabs>
                <w:tab w:val="left" w:pos="1830"/>
              </w:tabs>
            </w:pPr>
            <w:r>
              <w:t>12:15 p.m.</w:t>
            </w:r>
          </w:p>
        </w:tc>
        <w:tc>
          <w:tcPr>
            <w:tcW w:w="8343" w:type="dxa"/>
          </w:tcPr>
          <w:p w14:paraId="09887762" w14:textId="5BFF3FE3" w:rsidR="00BA3A7C" w:rsidRDefault="00BA3A7C" w:rsidP="0037598D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BA3A7C" w:rsidRPr="00B5566B" w14:paraId="69C2DA73" w14:textId="77777777" w:rsidTr="00DC31F8">
        <w:tc>
          <w:tcPr>
            <w:tcW w:w="1757" w:type="dxa"/>
          </w:tcPr>
          <w:p w14:paraId="20D8BE29" w14:textId="1583BC7C" w:rsidR="00BA3A7C" w:rsidRDefault="00BA74BD" w:rsidP="000875BA">
            <w:pPr>
              <w:tabs>
                <w:tab w:val="left" w:pos="1830"/>
              </w:tabs>
            </w:pPr>
            <w:r>
              <w:t>1:15 p.m.</w:t>
            </w:r>
          </w:p>
          <w:p w14:paraId="0784B029" w14:textId="6A42D455" w:rsidR="00BA3A7C" w:rsidRPr="006F462D" w:rsidRDefault="00BA3A7C" w:rsidP="000875BA">
            <w:pPr>
              <w:tabs>
                <w:tab w:val="left" w:pos="1830"/>
              </w:tabs>
            </w:pPr>
          </w:p>
        </w:tc>
        <w:tc>
          <w:tcPr>
            <w:tcW w:w="8343" w:type="dxa"/>
          </w:tcPr>
          <w:p w14:paraId="710E1E81" w14:textId="77777777" w:rsidR="002D2D1F" w:rsidRDefault="002D2D1F" w:rsidP="002D2D1F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When is the Right Time to Plan to Go Underground?</w:t>
            </w:r>
          </w:p>
          <w:p w14:paraId="0866C5E7" w14:textId="0EB5C397" w:rsidR="00BA74BD" w:rsidRPr="00BA74BD" w:rsidRDefault="002D2D1F" w:rsidP="00BC48BE">
            <w:pPr>
              <w:tabs>
                <w:tab w:val="left" w:pos="1830"/>
              </w:tabs>
            </w:pPr>
            <w:r>
              <w:t xml:space="preserve">Bob Archibald, </w:t>
            </w:r>
            <w:r w:rsidR="00DC6082">
              <w:t xml:space="preserve">PE, </w:t>
            </w:r>
            <w:r>
              <w:t>CEO, Q4 Impact Group</w:t>
            </w:r>
          </w:p>
        </w:tc>
      </w:tr>
      <w:tr w:rsidR="00BA3A7C" w:rsidRPr="00B5566B" w14:paraId="1F805A28" w14:textId="77777777" w:rsidTr="00DC31F8">
        <w:tc>
          <w:tcPr>
            <w:tcW w:w="1757" w:type="dxa"/>
          </w:tcPr>
          <w:p w14:paraId="04406C2B" w14:textId="424E89B6" w:rsidR="00BA3A7C" w:rsidRDefault="00BA74BD" w:rsidP="000875BA">
            <w:pPr>
              <w:tabs>
                <w:tab w:val="left" w:pos="1830"/>
              </w:tabs>
            </w:pPr>
            <w:r>
              <w:t>1:40 p.m.</w:t>
            </w:r>
          </w:p>
          <w:p w14:paraId="73435C12" w14:textId="79E29378" w:rsidR="00BA74BD" w:rsidRPr="006F462D" w:rsidRDefault="00BA74BD" w:rsidP="000875BA">
            <w:pPr>
              <w:tabs>
                <w:tab w:val="left" w:pos="1830"/>
              </w:tabs>
            </w:pPr>
          </w:p>
        </w:tc>
        <w:tc>
          <w:tcPr>
            <w:tcW w:w="8343" w:type="dxa"/>
          </w:tcPr>
          <w:p w14:paraId="25262084" w14:textId="77777777" w:rsidR="002D2D1F" w:rsidRDefault="002D2D1F" w:rsidP="002D2D1F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Overview of Environmental/Geophysical Sensors with Case Studies</w:t>
            </w:r>
          </w:p>
          <w:p w14:paraId="7A3006C3" w14:textId="42BA2984" w:rsidR="00BA74BD" w:rsidRPr="00BA74BD" w:rsidRDefault="002D2D1F" w:rsidP="002D2D1F">
            <w:pPr>
              <w:tabs>
                <w:tab w:val="left" w:pos="1830"/>
              </w:tabs>
            </w:pPr>
            <w:r>
              <w:t>Mark Taylor, Environmental Services Manager, Sauls Seismic</w:t>
            </w:r>
          </w:p>
        </w:tc>
      </w:tr>
      <w:tr w:rsidR="00BA3A7C" w:rsidRPr="00B5566B" w14:paraId="6D415DD4" w14:textId="77777777" w:rsidTr="005A40F6">
        <w:tc>
          <w:tcPr>
            <w:tcW w:w="1757" w:type="dxa"/>
          </w:tcPr>
          <w:p w14:paraId="02DB584E" w14:textId="7556200B" w:rsidR="00BA3A7C" w:rsidRDefault="00BA74BD" w:rsidP="000875BA">
            <w:pPr>
              <w:tabs>
                <w:tab w:val="left" w:pos="1830"/>
              </w:tabs>
            </w:pPr>
            <w:r>
              <w:t>2:05 p.m.</w:t>
            </w:r>
          </w:p>
          <w:p w14:paraId="1A0F78FD" w14:textId="7F412FFF" w:rsidR="00BA74BD" w:rsidRPr="006F462D" w:rsidRDefault="00BA74BD" w:rsidP="000875BA">
            <w:pPr>
              <w:tabs>
                <w:tab w:val="left" w:pos="1830"/>
              </w:tabs>
            </w:pPr>
          </w:p>
        </w:tc>
        <w:tc>
          <w:tcPr>
            <w:tcW w:w="8343" w:type="dxa"/>
            <w:shd w:val="clear" w:color="auto" w:fill="auto"/>
          </w:tcPr>
          <w:p w14:paraId="7E692D56" w14:textId="77777777" w:rsidR="00BA3A7C" w:rsidRDefault="00E36BDB" w:rsidP="0037598D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Longwall Panel Geological Evaluations</w:t>
            </w:r>
          </w:p>
          <w:p w14:paraId="5EA14E30" w14:textId="24DAE86D" w:rsidR="00E36BDB" w:rsidRPr="00E36BDB" w:rsidRDefault="00E36BDB" w:rsidP="0037598D">
            <w:pPr>
              <w:tabs>
                <w:tab w:val="left" w:pos="1830"/>
              </w:tabs>
            </w:pPr>
            <w:r w:rsidRPr="00E36BDB">
              <w:t xml:space="preserve">Quintin Justice, </w:t>
            </w:r>
            <w:r w:rsidR="00405400">
              <w:t xml:space="preserve">PE, </w:t>
            </w:r>
            <w:r w:rsidR="00A734D3">
              <w:t xml:space="preserve">Buchanan Mine Engineer, </w:t>
            </w:r>
            <w:r w:rsidRPr="00E36BDB">
              <w:t>Coronado</w:t>
            </w:r>
          </w:p>
        </w:tc>
      </w:tr>
      <w:tr w:rsidR="00BA3A7C" w:rsidRPr="00B5566B" w14:paraId="764230BB" w14:textId="77777777" w:rsidTr="00DC31F8">
        <w:tc>
          <w:tcPr>
            <w:tcW w:w="1757" w:type="dxa"/>
          </w:tcPr>
          <w:p w14:paraId="599A88B3" w14:textId="4011AF90" w:rsidR="00BA3A7C" w:rsidRDefault="00BA74BD" w:rsidP="000875BA">
            <w:pPr>
              <w:tabs>
                <w:tab w:val="left" w:pos="1830"/>
              </w:tabs>
            </w:pPr>
            <w:r>
              <w:t>2:30 p.m.</w:t>
            </w:r>
          </w:p>
          <w:p w14:paraId="7FB97869" w14:textId="61CEE7AB" w:rsidR="00BA74BD" w:rsidRPr="006F462D" w:rsidRDefault="00BA74BD" w:rsidP="000875BA">
            <w:pPr>
              <w:tabs>
                <w:tab w:val="left" w:pos="1830"/>
              </w:tabs>
            </w:pPr>
          </w:p>
        </w:tc>
        <w:tc>
          <w:tcPr>
            <w:tcW w:w="8343" w:type="dxa"/>
          </w:tcPr>
          <w:p w14:paraId="5BA0536F" w14:textId="77777777" w:rsidR="00BA3A7C" w:rsidRDefault="00E36BDB" w:rsidP="0037598D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Ventilation Air Methane Regenerative Thermal Oxidation Study</w:t>
            </w:r>
          </w:p>
          <w:p w14:paraId="094D51A7" w14:textId="086E1F88" w:rsidR="00E36BDB" w:rsidRPr="00E36BDB" w:rsidRDefault="00E36BDB" w:rsidP="0037598D">
            <w:pPr>
              <w:tabs>
                <w:tab w:val="left" w:pos="1830"/>
              </w:tabs>
            </w:pPr>
            <w:r w:rsidRPr="00E36BDB">
              <w:t xml:space="preserve">Kevin Elkins, </w:t>
            </w:r>
            <w:r w:rsidR="00861677">
              <w:t xml:space="preserve">PE, </w:t>
            </w:r>
            <w:r w:rsidR="00CB109A">
              <w:t xml:space="preserve">Senior Project Engineer, </w:t>
            </w:r>
            <w:r w:rsidRPr="00E36BDB">
              <w:t>Coronado</w:t>
            </w:r>
            <w:r w:rsidR="00B96960">
              <w:t>/Buchanan Mine</w:t>
            </w:r>
          </w:p>
        </w:tc>
      </w:tr>
      <w:tr w:rsidR="00BA3A7C" w:rsidRPr="00B5566B" w14:paraId="79B9C104" w14:textId="77777777" w:rsidTr="00DC31F8">
        <w:tc>
          <w:tcPr>
            <w:tcW w:w="1757" w:type="dxa"/>
          </w:tcPr>
          <w:p w14:paraId="6454778F" w14:textId="6E1D2E07" w:rsidR="00BA74BD" w:rsidRPr="006F462D" w:rsidRDefault="00BA74BD" w:rsidP="00BC48BE">
            <w:pPr>
              <w:tabs>
                <w:tab w:val="left" w:pos="1830"/>
              </w:tabs>
            </w:pPr>
            <w:r>
              <w:t>2:55 p.m.</w:t>
            </w:r>
          </w:p>
        </w:tc>
        <w:tc>
          <w:tcPr>
            <w:tcW w:w="8343" w:type="dxa"/>
          </w:tcPr>
          <w:p w14:paraId="177B8C15" w14:textId="6B6CB36B" w:rsidR="00BA3A7C" w:rsidRDefault="00BA74BD" w:rsidP="0037598D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Networking Break</w:t>
            </w:r>
          </w:p>
        </w:tc>
      </w:tr>
      <w:tr w:rsidR="00BA3A7C" w:rsidRPr="00B5566B" w14:paraId="61F48D3C" w14:textId="77777777" w:rsidTr="00DC31F8">
        <w:tc>
          <w:tcPr>
            <w:tcW w:w="1757" w:type="dxa"/>
          </w:tcPr>
          <w:p w14:paraId="650AAD58" w14:textId="51C1D796" w:rsidR="00BA3A7C" w:rsidRDefault="00BA74BD" w:rsidP="000875BA">
            <w:pPr>
              <w:tabs>
                <w:tab w:val="left" w:pos="1830"/>
              </w:tabs>
            </w:pPr>
            <w:r>
              <w:t>3:20 p.m.</w:t>
            </w:r>
          </w:p>
          <w:p w14:paraId="662EA9EA" w14:textId="442BF2B4" w:rsidR="00BA74BD" w:rsidRPr="006F462D" w:rsidRDefault="00BA74BD" w:rsidP="000875BA">
            <w:pPr>
              <w:tabs>
                <w:tab w:val="left" w:pos="1830"/>
              </w:tabs>
            </w:pPr>
          </w:p>
        </w:tc>
        <w:tc>
          <w:tcPr>
            <w:tcW w:w="8343" w:type="dxa"/>
          </w:tcPr>
          <w:p w14:paraId="45641E9C" w14:textId="64F3ACB7" w:rsidR="00BA3A7C" w:rsidRDefault="001E6BBC" w:rsidP="0037598D">
            <w:pPr>
              <w:tabs>
                <w:tab w:val="left" w:pos="1830"/>
              </w:tabs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Ventilation Air Methane (VAM) Catalytic Oxidation-</w:t>
            </w:r>
            <w:r w:rsidR="00440F64" w:rsidRPr="00440F64">
              <w:rPr>
                <w:b/>
                <w:bCs/>
              </w:rPr>
              <w:t xml:space="preserve">An </w:t>
            </w:r>
            <w:r w:rsidR="00440F64">
              <w:rPr>
                <w:b/>
                <w:bCs/>
              </w:rPr>
              <w:t>O</w:t>
            </w:r>
            <w:r w:rsidR="00440F64" w:rsidRPr="00440F64">
              <w:rPr>
                <w:b/>
                <w:bCs/>
              </w:rPr>
              <w:t>pportunity for Abatement of Low Concentrations of Methane from Coal Mine Exhaust</w:t>
            </w:r>
          </w:p>
          <w:p w14:paraId="273972C4" w14:textId="039B6559" w:rsidR="00234464" w:rsidRPr="00234464" w:rsidRDefault="00234464" w:rsidP="0037598D">
            <w:pPr>
              <w:tabs>
                <w:tab w:val="left" w:pos="1830"/>
              </w:tabs>
            </w:pPr>
            <w:r w:rsidRPr="00234464">
              <w:t>Michael Karmis</w:t>
            </w:r>
            <w:r>
              <w:t xml:space="preserve">, </w:t>
            </w:r>
            <w:r w:rsidR="001B40B8">
              <w:t xml:space="preserve">PhD, PE, </w:t>
            </w:r>
            <w:r>
              <w:t>Managing Member</w:t>
            </w:r>
            <w:r w:rsidRPr="00234464">
              <w:t xml:space="preserve"> and </w:t>
            </w:r>
            <w:r w:rsidRPr="00DA4C80">
              <w:t>Dan</w:t>
            </w:r>
            <w:r w:rsidR="008028FB">
              <w:t>iel</w:t>
            </w:r>
            <w:r w:rsidRPr="00DA4C80">
              <w:t xml:space="preserve"> Stinnette</w:t>
            </w:r>
            <w:r w:rsidRPr="00234464">
              <w:t>,</w:t>
            </w:r>
            <w:r w:rsidR="00BC48BE">
              <w:t xml:space="preserve"> PE,</w:t>
            </w:r>
            <w:r w:rsidRPr="00234464">
              <w:t xml:space="preserve"> Michael Karmis LLC</w:t>
            </w:r>
          </w:p>
        </w:tc>
      </w:tr>
      <w:tr w:rsidR="00BA3A7C" w:rsidRPr="00B5566B" w14:paraId="05A6D7F7" w14:textId="77777777" w:rsidTr="0007793C">
        <w:tc>
          <w:tcPr>
            <w:tcW w:w="1757" w:type="dxa"/>
          </w:tcPr>
          <w:p w14:paraId="7759C090" w14:textId="315DBF93" w:rsidR="00BA3A7C" w:rsidRDefault="00BA74BD" w:rsidP="000875BA">
            <w:pPr>
              <w:tabs>
                <w:tab w:val="left" w:pos="1830"/>
              </w:tabs>
            </w:pPr>
            <w:r>
              <w:t>3:45 p.m.</w:t>
            </w:r>
          </w:p>
          <w:p w14:paraId="7DDB344C" w14:textId="1D8AF806" w:rsidR="00BA74BD" w:rsidRPr="006F462D" w:rsidRDefault="00BA74BD" w:rsidP="000875BA">
            <w:pPr>
              <w:tabs>
                <w:tab w:val="left" w:pos="1830"/>
              </w:tabs>
            </w:pPr>
          </w:p>
        </w:tc>
        <w:tc>
          <w:tcPr>
            <w:tcW w:w="8343" w:type="dxa"/>
            <w:shd w:val="clear" w:color="auto" w:fill="auto"/>
          </w:tcPr>
          <w:p w14:paraId="788D5BFC" w14:textId="77777777" w:rsidR="00041745" w:rsidRPr="00E1398C" w:rsidRDefault="00041745" w:rsidP="00041745">
            <w:pPr>
              <w:tabs>
                <w:tab w:val="left" w:pos="1830"/>
              </w:tabs>
              <w:rPr>
                <w:b/>
                <w:bCs/>
              </w:rPr>
            </w:pPr>
            <w:r w:rsidRPr="00E1398C">
              <w:rPr>
                <w:b/>
                <w:bCs/>
              </w:rPr>
              <w:t>The Revolution in Mapping Applications in the Mining Industry – The Advent of Drones and LiDAR</w:t>
            </w:r>
          </w:p>
          <w:p w14:paraId="5D725153" w14:textId="3FFABEA0" w:rsidR="00A26A88" w:rsidRPr="00A26A88" w:rsidRDefault="00041745" w:rsidP="0037598D">
            <w:pPr>
              <w:tabs>
                <w:tab w:val="left" w:pos="1830"/>
              </w:tabs>
            </w:pPr>
            <w:r>
              <w:t>Marshall Robinson, PS, Allegheny Survey</w:t>
            </w:r>
          </w:p>
        </w:tc>
      </w:tr>
      <w:tr w:rsidR="00BA3A7C" w:rsidRPr="00B5566B" w14:paraId="17E917DB" w14:textId="77777777" w:rsidTr="00DA4C80">
        <w:tc>
          <w:tcPr>
            <w:tcW w:w="1757" w:type="dxa"/>
          </w:tcPr>
          <w:p w14:paraId="66E5DCBA" w14:textId="2C6B615F" w:rsidR="00BA3A7C" w:rsidRDefault="00C505CD" w:rsidP="000875BA">
            <w:pPr>
              <w:tabs>
                <w:tab w:val="left" w:pos="1830"/>
              </w:tabs>
            </w:pPr>
            <w:r>
              <w:t>4:10 p.m.</w:t>
            </w:r>
          </w:p>
          <w:p w14:paraId="6CB7C70A" w14:textId="3506F4B0" w:rsidR="00BA74BD" w:rsidRPr="006F462D" w:rsidRDefault="00BA74BD" w:rsidP="000875BA">
            <w:pPr>
              <w:tabs>
                <w:tab w:val="left" w:pos="1830"/>
              </w:tabs>
            </w:pPr>
          </w:p>
        </w:tc>
        <w:tc>
          <w:tcPr>
            <w:tcW w:w="8343" w:type="dxa"/>
            <w:shd w:val="clear" w:color="auto" w:fill="auto"/>
          </w:tcPr>
          <w:p w14:paraId="097858AC" w14:textId="766C8D85" w:rsidR="00BA3A7C" w:rsidRDefault="001C2F2D" w:rsidP="00A26A88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Development Mining Near Oil and Gas Wells</w:t>
            </w:r>
          </w:p>
          <w:p w14:paraId="615BC032" w14:textId="456479D2" w:rsidR="00F42F05" w:rsidRPr="00F42F05" w:rsidRDefault="00F42F05" w:rsidP="00A26A88">
            <w:pPr>
              <w:tabs>
                <w:tab w:val="left" w:pos="1830"/>
              </w:tabs>
            </w:pPr>
            <w:r>
              <w:t xml:space="preserve">Christopher </w:t>
            </w:r>
            <w:r w:rsidR="008F2345">
              <w:t>Mark</w:t>
            </w:r>
            <w:r>
              <w:t>, MSHA</w:t>
            </w:r>
          </w:p>
        </w:tc>
      </w:tr>
      <w:tr w:rsidR="002D2D1F" w:rsidRPr="00B5566B" w14:paraId="36B5DB37" w14:textId="77777777" w:rsidTr="00DC31F8">
        <w:tc>
          <w:tcPr>
            <w:tcW w:w="1757" w:type="dxa"/>
          </w:tcPr>
          <w:p w14:paraId="7988BE19" w14:textId="2DA79722" w:rsidR="002D2D1F" w:rsidRDefault="002D2D1F" w:rsidP="002D2D1F">
            <w:pPr>
              <w:tabs>
                <w:tab w:val="left" w:pos="1830"/>
              </w:tabs>
            </w:pPr>
            <w:r>
              <w:t>4:35 p.m.</w:t>
            </w:r>
          </w:p>
          <w:p w14:paraId="6444F04B" w14:textId="05CBE123" w:rsidR="002D2D1F" w:rsidRPr="006F462D" w:rsidRDefault="002D2D1F" w:rsidP="002D2D1F">
            <w:pPr>
              <w:tabs>
                <w:tab w:val="left" w:pos="1830"/>
              </w:tabs>
            </w:pPr>
          </w:p>
        </w:tc>
        <w:tc>
          <w:tcPr>
            <w:tcW w:w="8343" w:type="dxa"/>
          </w:tcPr>
          <w:p w14:paraId="60AC3408" w14:textId="5960D41A" w:rsidR="002D2D1F" w:rsidRDefault="00ED3449" w:rsidP="002D2D1F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Automating Underground Room and Pillar Mining Machines</w:t>
            </w:r>
          </w:p>
          <w:p w14:paraId="43C34EE1" w14:textId="6A22345D" w:rsidR="002D2D1F" w:rsidRPr="0002799D" w:rsidRDefault="005A53BB" w:rsidP="002D2D1F">
            <w:pPr>
              <w:tabs>
                <w:tab w:val="left" w:pos="1830"/>
              </w:tabs>
            </w:pPr>
            <w:r>
              <w:t>Steve Schafrik, PhD, Zach Agioutantis, PhD, PE, Joe Sottile, PhD</w:t>
            </w:r>
            <w:r w:rsidR="00ED3449">
              <w:t>, University of Kentucky</w:t>
            </w:r>
          </w:p>
        </w:tc>
      </w:tr>
      <w:tr w:rsidR="002D2D1F" w:rsidRPr="00B5566B" w14:paraId="620C7544" w14:textId="77777777" w:rsidTr="00DC31F8">
        <w:tc>
          <w:tcPr>
            <w:tcW w:w="1757" w:type="dxa"/>
          </w:tcPr>
          <w:p w14:paraId="1BDEC8C8" w14:textId="458A0891" w:rsidR="002D2D1F" w:rsidRDefault="002D2D1F" w:rsidP="002D2D1F">
            <w:pPr>
              <w:tabs>
                <w:tab w:val="left" w:pos="1830"/>
              </w:tabs>
            </w:pPr>
            <w:r>
              <w:t>5:00 p.m.</w:t>
            </w:r>
          </w:p>
        </w:tc>
        <w:tc>
          <w:tcPr>
            <w:tcW w:w="8343" w:type="dxa"/>
          </w:tcPr>
          <w:p w14:paraId="4CC94FF0" w14:textId="3C4BB62D" w:rsidR="002D2D1F" w:rsidRDefault="002D2D1F" w:rsidP="002D2D1F">
            <w:pPr>
              <w:tabs>
                <w:tab w:val="left" w:pos="1830"/>
              </w:tabs>
              <w:rPr>
                <w:b/>
                <w:bCs/>
              </w:rPr>
            </w:pPr>
            <w:r>
              <w:rPr>
                <w:b/>
                <w:bCs/>
              </w:rPr>
              <w:t>Adjourn</w:t>
            </w:r>
          </w:p>
        </w:tc>
      </w:tr>
    </w:tbl>
    <w:p w14:paraId="35797921" w14:textId="67F36615" w:rsidR="00BE3924" w:rsidRPr="00C505CD" w:rsidRDefault="00BE3924" w:rsidP="0028306F"/>
    <w:sectPr w:rsidR="00BE3924" w:rsidRPr="00C505CD" w:rsidSect="00C505CD">
      <w:footerReference w:type="default" r:id="rId8"/>
      <w:type w:val="continuous"/>
      <w:pgSz w:w="12240" w:h="15840"/>
      <w:pgMar w:top="173" w:right="994" w:bottom="173" w:left="7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FE22" w14:textId="77777777" w:rsidR="009445FC" w:rsidRDefault="009445FC" w:rsidP="00922DBF">
      <w:r>
        <w:separator/>
      </w:r>
    </w:p>
  </w:endnote>
  <w:endnote w:type="continuationSeparator" w:id="0">
    <w:p w14:paraId="457CFCB4" w14:textId="77777777" w:rsidR="009445FC" w:rsidRDefault="009445FC" w:rsidP="0092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7BAD" w14:textId="3F65B521" w:rsidR="00C369C3" w:rsidRDefault="00F1535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6E75" w14:textId="77777777" w:rsidR="009445FC" w:rsidRDefault="009445FC" w:rsidP="00922DBF">
      <w:r>
        <w:separator/>
      </w:r>
    </w:p>
  </w:footnote>
  <w:footnote w:type="continuationSeparator" w:id="0">
    <w:p w14:paraId="1FE8F141" w14:textId="77777777" w:rsidR="009445FC" w:rsidRDefault="009445FC" w:rsidP="0092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117" w:hanging="231"/>
      </w:pPr>
      <w:rPr>
        <w:rFonts w:ascii="Arial" w:hAnsi="Arial" w:cs="Aria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4" w:hanging="231"/>
      </w:pPr>
    </w:lvl>
    <w:lvl w:ilvl="2">
      <w:numFmt w:val="bullet"/>
      <w:lvlText w:val="•"/>
      <w:lvlJc w:val="left"/>
      <w:pPr>
        <w:ind w:left="2048" w:hanging="231"/>
      </w:pPr>
    </w:lvl>
    <w:lvl w:ilvl="3">
      <w:numFmt w:val="bullet"/>
      <w:lvlText w:val="•"/>
      <w:lvlJc w:val="left"/>
      <w:pPr>
        <w:ind w:left="3012" w:hanging="231"/>
      </w:pPr>
    </w:lvl>
    <w:lvl w:ilvl="4">
      <w:numFmt w:val="bullet"/>
      <w:lvlText w:val="•"/>
      <w:lvlJc w:val="left"/>
      <w:pPr>
        <w:ind w:left="3976" w:hanging="231"/>
      </w:pPr>
    </w:lvl>
    <w:lvl w:ilvl="5">
      <w:numFmt w:val="bullet"/>
      <w:lvlText w:val="•"/>
      <w:lvlJc w:val="left"/>
      <w:pPr>
        <w:ind w:left="4940" w:hanging="231"/>
      </w:pPr>
    </w:lvl>
    <w:lvl w:ilvl="6">
      <w:numFmt w:val="bullet"/>
      <w:lvlText w:val="•"/>
      <w:lvlJc w:val="left"/>
      <w:pPr>
        <w:ind w:left="5904" w:hanging="231"/>
      </w:pPr>
    </w:lvl>
    <w:lvl w:ilvl="7">
      <w:numFmt w:val="bullet"/>
      <w:lvlText w:val="•"/>
      <w:lvlJc w:val="left"/>
      <w:pPr>
        <w:ind w:left="6868" w:hanging="231"/>
      </w:pPr>
    </w:lvl>
    <w:lvl w:ilvl="8">
      <w:numFmt w:val="bullet"/>
      <w:lvlText w:val="•"/>
      <w:lvlJc w:val="left"/>
      <w:pPr>
        <w:ind w:left="7832" w:hanging="23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■"/>
      <w:lvlJc w:val="left"/>
      <w:pPr>
        <w:ind w:left="348" w:hanging="23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2" w:hanging="231"/>
      </w:pPr>
    </w:lvl>
    <w:lvl w:ilvl="2">
      <w:numFmt w:val="bullet"/>
      <w:lvlText w:val="•"/>
      <w:lvlJc w:val="left"/>
      <w:pPr>
        <w:ind w:left="2224" w:hanging="231"/>
      </w:pPr>
    </w:lvl>
    <w:lvl w:ilvl="3">
      <w:numFmt w:val="bullet"/>
      <w:lvlText w:val="•"/>
      <w:lvlJc w:val="left"/>
      <w:pPr>
        <w:ind w:left="3166" w:hanging="231"/>
      </w:pPr>
    </w:lvl>
    <w:lvl w:ilvl="4">
      <w:numFmt w:val="bullet"/>
      <w:lvlText w:val="•"/>
      <w:lvlJc w:val="left"/>
      <w:pPr>
        <w:ind w:left="4108" w:hanging="231"/>
      </w:pPr>
    </w:lvl>
    <w:lvl w:ilvl="5">
      <w:numFmt w:val="bullet"/>
      <w:lvlText w:val="•"/>
      <w:lvlJc w:val="left"/>
      <w:pPr>
        <w:ind w:left="5050" w:hanging="231"/>
      </w:pPr>
    </w:lvl>
    <w:lvl w:ilvl="6">
      <w:numFmt w:val="bullet"/>
      <w:lvlText w:val="•"/>
      <w:lvlJc w:val="left"/>
      <w:pPr>
        <w:ind w:left="5992" w:hanging="231"/>
      </w:pPr>
    </w:lvl>
    <w:lvl w:ilvl="7">
      <w:numFmt w:val="bullet"/>
      <w:lvlText w:val="•"/>
      <w:lvlJc w:val="left"/>
      <w:pPr>
        <w:ind w:left="6934" w:hanging="231"/>
      </w:pPr>
    </w:lvl>
    <w:lvl w:ilvl="8">
      <w:numFmt w:val="bullet"/>
      <w:lvlText w:val="•"/>
      <w:lvlJc w:val="left"/>
      <w:pPr>
        <w:ind w:left="7876" w:hanging="231"/>
      </w:pPr>
    </w:lvl>
  </w:abstractNum>
  <w:abstractNum w:abstractNumId="2" w15:restartNumberingAfterBreak="0">
    <w:nsid w:val="48A650C6"/>
    <w:multiLevelType w:val="hybridMultilevel"/>
    <w:tmpl w:val="3570702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653264484">
    <w:abstractNumId w:val="1"/>
  </w:num>
  <w:num w:numId="2" w16cid:durableId="1600793531">
    <w:abstractNumId w:val="0"/>
  </w:num>
  <w:num w:numId="3" w16cid:durableId="693310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4C"/>
    <w:rsid w:val="000006BD"/>
    <w:rsid w:val="0001250D"/>
    <w:rsid w:val="00014C64"/>
    <w:rsid w:val="00020A4E"/>
    <w:rsid w:val="00022AB9"/>
    <w:rsid w:val="000267D6"/>
    <w:rsid w:val="0002799D"/>
    <w:rsid w:val="00032946"/>
    <w:rsid w:val="00041745"/>
    <w:rsid w:val="00043714"/>
    <w:rsid w:val="000612B8"/>
    <w:rsid w:val="00070333"/>
    <w:rsid w:val="0007793C"/>
    <w:rsid w:val="00085473"/>
    <w:rsid w:val="000875BA"/>
    <w:rsid w:val="000A6905"/>
    <w:rsid w:val="000B7078"/>
    <w:rsid w:val="000B71D9"/>
    <w:rsid w:val="000C051C"/>
    <w:rsid w:val="000D0537"/>
    <w:rsid w:val="000D6647"/>
    <w:rsid w:val="000E13B8"/>
    <w:rsid w:val="000F2B59"/>
    <w:rsid w:val="000F3BEB"/>
    <w:rsid w:val="00103F88"/>
    <w:rsid w:val="00124140"/>
    <w:rsid w:val="00142238"/>
    <w:rsid w:val="0014230A"/>
    <w:rsid w:val="00143BBB"/>
    <w:rsid w:val="0016280D"/>
    <w:rsid w:val="0016534C"/>
    <w:rsid w:val="001821C8"/>
    <w:rsid w:val="00182758"/>
    <w:rsid w:val="00192FEA"/>
    <w:rsid w:val="00197522"/>
    <w:rsid w:val="001A40A4"/>
    <w:rsid w:val="001B40B8"/>
    <w:rsid w:val="001B44FB"/>
    <w:rsid w:val="001C012E"/>
    <w:rsid w:val="001C1EF8"/>
    <w:rsid w:val="001C2AB5"/>
    <w:rsid w:val="001C2F2D"/>
    <w:rsid w:val="001E1DA7"/>
    <w:rsid w:val="001E2605"/>
    <w:rsid w:val="001E6BBC"/>
    <w:rsid w:val="002005F4"/>
    <w:rsid w:val="002008A9"/>
    <w:rsid w:val="00203587"/>
    <w:rsid w:val="002139C9"/>
    <w:rsid w:val="00234464"/>
    <w:rsid w:val="002533F7"/>
    <w:rsid w:val="00254A61"/>
    <w:rsid w:val="00263973"/>
    <w:rsid w:val="002804AD"/>
    <w:rsid w:val="0028306F"/>
    <w:rsid w:val="00295293"/>
    <w:rsid w:val="002C4740"/>
    <w:rsid w:val="002D2D1F"/>
    <w:rsid w:val="002D6022"/>
    <w:rsid w:val="002D60D3"/>
    <w:rsid w:val="00304E88"/>
    <w:rsid w:val="00306D35"/>
    <w:rsid w:val="00307D0A"/>
    <w:rsid w:val="00336BFE"/>
    <w:rsid w:val="003412DD"/>
    <w:rsid w:val="00353CDD"/>
    <w:rsid w:val="00362CB9"/>
    <w:rsid w:val="00363112"/>
    <w:rsid w:val="003675B6"/>
    <w:rsid w:val="0037598D"/>
    <w:rsid w:val="00383FBC"/>
    <w:rsid w:val="00386F25"/>
    <w:rsid w:val="003922E6"/>
    <w:rsid w:val="0039628F"/>
    <w:rsid w:val="003D3462"/>
    <w:rsid w:val="003E2123"/>
    <w:rsid w:val="003E3D01"/>
    <w:rsid w:val="003F3C09"/>
    <w:rsid w:val="00402BED"/>
    <w:rsid w:val="00402DD3"/>
    <w:rsid w:val="004035C4"/>
    <w:rsid w:val="00405400"/>
    <w:rsid w:val="004369B6"/>
    <w:rsid w:val="0043799A"/>
    <w:rsid w:val="00440F64"/>
    <w:rsid w:val="004608B1"/>
    <w:rsid w:val="00472ACC"/>
    <w:rsid w:val="00472E57"/>
    <w:rsid w:val="00475E94"/>
    <w:rsid w:val="00492EB3"/>
    <w:rsid w:val="004A36A1"/>
    <w:rsid w:val="004B1527"/>
    <w:rsid w:val="004D1EBB"/>
    <w:rsid w:val="004E18D4"/>
    <w:rsid w:val="004F0454"/>
    <w:rsid w:val="004F271C"/>
    <w:rsid w:val="0051385A"/>
    <w:rsid w:val="0052223F"/>
    <w:rsid w:val="0052440A"/>
    <w:rsid w:val="00542D11"/>
    <w:rsid w:val="0055020E"/>
    <w:rsid w:val="00552110"/>
    <w:rsid w:val="0057160C"/>
    <w:rsid w:val="005831E9"/>
    <w:rsid w:val="00590DB9"/>
    <w:rsid w:val="005A40F6"/>
    <w:rsid w:val="005A53BB"/>
    <w:rsid w:val="005B1FB1"/>
    <w:rsid w:val="005C27FE"/>
    <w:rsid w:val="005C5065"/>
    <w:rsid w:val="005C6DF3"/>
    <w:rsid w:val="005E6447"/>
    <w:rsid w:val="00600362"/>
    <w:rsid w:val="00604B4C"/>
    <w:rsid w:val="006173BD"/>
    <w:rsid w:val="00641EE7"/>
    <w:rsid w:val="00652CAF"/>
    <w:rsid w:val="0065766E"/>
    <w:rsid w:val="006643C8"/>
    <w:rsid w:val="00671C78"/>
    <w:rsid w:val="006A1F52"/>
    <w:rsid w:val="006A48E3"/>
    <w:rsid w:val="006B1801"/>
    <w:rsid w:val="006B7971"/>
    <w:rsid w:val="006C4F0F"/>
    <w:rsid w:val="006F462D"/>
    <w:rsid w:val="00731CCC"/>
    <w:rsid w:val="00741CD3"/>
    <w:rsid w:val="00747B3C"/>
    <w:rsid w:val="00750645"/>
    <w:rsid w:val="00757E86"/>
    <w:rsid w:val="00760C77"/>
    <w:rsid w:val="00764C16"/>
    <w:rsid w:val="007713C6"/>
    <w:rsid w:val="00772C73"/>
    <w:rsid w:val="0078271D"/>
    <w:rsid w:val="00784CBB"/>
    <w:rsid w:val="00794D0F"/>
    <w:rsid w:val="007B241B"/>
    <w:rsid w:val="007C0E53"/>
    <w:rsid w:val="007C5790"/>
    <w:rsid w:val="007D4A31"/>
    <w:rsid w:val="007E0111"/>
    <w:rsid w:val="007E0350"/>
    <w:rsid w:val="007E0EDF"/>
    <w:rsid w:val="008028FB"/>
    <w:rsid w:val="008069B7"/>
    <w:rsid w:val="008161B4"/>
    <w:rsid w:val="008367F3"/>
    <w:rsid w:val="00837A46"/>
    <w:rsid w:val="0085280D"/>
    <w:rsid w:val="00861677"/>
    <w:rsid w:val="00883DB2"/>
    <w:rsid w:val="008872DB"/>
    <w:rsid w:val="00891B82"/>
    <w:rsid w:val="008B5142"/>
    <w:rsid w:val="008B737C"/>
    <w:rsid w:val="008C5961"/>
    <w:rsid w:val="008C6D19"/>
    <w:rsid w:val="008F2345"/>
    <w:rsid w:val="008F72D8"/>
    <w:rsid w:val="00900544"/>
    <w:rsid w:val="009040A4"/>
    <w:rsid w:val="009053F0"/>
    <w:rsid w:val="00922DBF"/>
    <w:rsid w:val="009270B0"/>
    <w:rsid w:val="00927381"/>
    <w:rsid w:val="009279A7"/>
    <w:rsid w:val="009331BE"/>
    <w:rsid w:val="009445FC"/>
    <w:rsid w:val="00961E6D"/>
    <w:rsid w:val="00961FD4"/>
    <w:rsid w:val="0098508B"/>
    <w:rsid w:val="009969D4"/>
    <w:rsid w:val="009A13F2"/>
    <w:rsid w:val="009B7C2C"/>
    <w:rsid w:val="009D0E70"/>
    <w:rsid w:val="009E68C6"/>
    <w:rsid w:val="00A17611"/>
    <w:rsid w:val="00A2397F"/>
    <w:rsid w:val="00A25301"/>
    <w:rsid w:val="00A26A88"/>
    <w:rsid w:val="00A373A7"/>
    <w:rsid w:val="00A734D3"/>
    <w:rsid w:val="00A803AE"/>
    <w:rsid w:val="00A9269F"/>
    <w:rsid w:val="00A9765D"/>
    <w:rsid w:val="00AA381B"/>
    <w:rsid w:val="00AA5118"/>
    <w:rsid w:val="00AB5645"/>
    <w:rsid w:val="00AD1FCD"/>
    <w:rsid w:val="00AE280B"/>
    <w:rsid w:val="00AF21DB"/>
    <w:rsid w:val="00B139A5"/>
    <w:rsid w:val="00B2185A"/>
    <w:rsid w:val="00B24C5F"/>
    <w:rsid w:val="00B5320C"/>
    <w:rsid w:val="00B5566B"/>
    <w:rsid w:val="00B64767"/>
    <w:rsid w:val="00B80E59"/>
    <w:rsid w:val="00B82706"/>
    <w:rsid w:val="00B96960"/>
    <w:rsid w:val="00BA3A7C"/>
    <w:rsid w:val="00BA74BD"/>
    <w:rsid w:val="00BB1BDB"/>
    <w:rsid w:val="00BC48BE"/>
    <w:rsid w:val="00BD0711"/>
    <w:rsid w:val="00BE3924"/>
    <w:rsid w:val="00BF192A"/>
    <w:rsid w:val="00C042B5"/>
    <w:rsid w:val="00C12954"/>
    <w:rsid w:val="00C12C3A"/>
    <w:rsid w:val="00C274C9"/>
    <w:rsid w:val="00C35E70"/>
    <w:rsid w:val="00C369C3"/>
    <w:rsid w:val="00C46F38"/>
    <w:rsid w:val="00C505CD"/>
    <w:rsid w:val="00C625D6"/>
    <w:rsid w:val="00C6324C"/>
    <w:rsid w:val="00C70110"/>
    <w:rsid w:val="00CA26F9"/>
    <w:rsid w:val="00CA2CFF"/>
    <w:rsid w:val="00CA51B2"/>
    <w:rsid w:val="00CB109A"/>
    <w:rsid w:val="00CB5BAC"/>
    <w:rsid w:val="00CD1324"/>
    <w:rsid w:val="00CE11D9"/>
    <w:rsid w:val="00CF0C5E"/>
    <w:rsid w:val="00D15A32"/>
    <w:rsid w:val="00D2309A"/>
    <w:rsid w:val="00D35C9D"/>
    <w:rsid w:val="00D468DB"/>
    <w:rsid w:val="00D54016"/>
    <w:rsid w:val="00D641E2"/>
    <w:rsid w:val="00D75BDD"/>
    <w:rsid w:val="00DA4C80"/>
    <w:rsid w:val="00DC31F8"/>
    <w:rsid w:val="00DC6082"/>
    <w:rsid w:val="00DC66FF"/>
    <w:rsid w:val="00DD3CBF"/>
    <w:rsid w:val="00DE3064"/>
    <w:rsid w:val="00E02E88"/>
    <w:rsid w:val="00E07BD4"/>
    <w:rsid w:val="00E1398C"/>
    <w:rsid w:val="00E146FC"/>
    <w:rsid w:val="00E33287"/>
    <w:rsid w:val="00E36BDB"/>
    <w:rsid w:val="00E449CE"/>
    <w:rsid w:val="00E57151"/>
    <w:rsid w:val="00E57E55"/>
    <w:rsid w:val="00E654AD"/>
    <w:rsid w:val="00E66BA0"/>
    <w:rsid w:val="00E66EFF"/>
    <w:rsid w:val="00E70E28"/>
    <w:rsid w:val="00E81445"/>
    <w:rsid w:val="00E84BDF"/>
    <w:rsid w:val="00E95D24"/>
    <w:rsid w:val="00E97066"/>
    <w:rsid w:val="00ED03AE"/>
    <w:rsid w:val="00ED2F59"/>
    <w:rsid w:val="00ED3449"/>
    <w:rsid w:val="00EF3E32"/>
    <w:rsid w:val="00EF43C8"/>
    <w:rsid w:val="00EF58B6"/>
    <w:rsid w:val="00F15353"/>
    <w:rsid w:val="00F27081"/>
    <w:rsid w:val="00F378E8"/>
    <w:rsid w:val="00F42F05"/>
    <w:rsid w:val="00F62117"/>
    <w:rsid w:val="00F874E9"/>
    <w:rsid w:val="00F96FD6"/>
    <w:rsid w:val="00FA0D13"/>
    <w:rsid w:val="00FA1386"/>
    <w:rsid w:val="00FA58DA"/>
    <w:rsid w:val="00FA6CAD"/>
    <w:rsid w:val="00FC1676"/>
    <w:rsid w:val="00FE6E92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FE4D5"/>
  <w15:docId w15:val="{E762C86B-7133-4977-9D50-6293B6D8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98"/>
      <w:ind w:left="457" w:right="10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B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A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8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8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C3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020A4E"/>
    <w:pPr>
      <w:widowControl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D37B-9A26-491A-BE67-85B9CBE5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Geaunita Caylor</dc:creator>
  <cp:lastModifiedBy>Geaunita Caylor</cp:lastModifiedBy>
  <cp:revision>19</cp:revision>
  <cp:lastPrinted>2023-02-21T20:13:00Z</cp:lastPrinted>
  <dcterms:created xsi:type="dcterms:W3CDTF">2023-02-22T19:36:00Z</dcterms:created>
  <dcterms:modified xsi:type="dcterms:W3CDTF">2023-04-05T21:57:00Z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2021-03-30T00:00:00Z</vt:filetime>
  </property>
</Properties>
</file>